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42B" w:rsidRDefault="0026542B" w:rsidP="0026542B">
      <w:pPr>
        <w:pStyle w:val="NoSpacing"/>
        <w:jc w:val="center"/>
        <w:rPr>
          <w:rFonts w:ascii="Arial Black" w:hAnsi="Arial Black"/>
          <w:noProof/>
          <w:sz w:val="28"/>
          <w:szCs w:val="28"/>
        </w:rPr>
      </w:pPr>
      <w:r>
        <w:rPr>
          <w:rFonts w:ascii="Arial Black" w:hAnsi="Arial Black"/>
          <w:noProof/>
          <w:sz w:val="28"/>
          <w:szCs w:val="28"/>
        </w:rPr>
        <w:br/>
      </w:r>
      <w:r w:rsidRPr="00C92212">
        <w:rPr>
          <w:rFonts w:ascii="Arial Black" w:hAnsi="Arial Black"/>
          <w:noProof/>
          <w:sz w:val="28"/>
          <w:szCs w:val="28"/>
        </w:rPr>
        <w:t>FEDERAL FACILITY ASSESSMENT GUIDE</w:t>
      </w:r>
    </w:p>
    <w:p w:rsidR="00DD3504" w:rsidRPr="0026542B" w:rsidRDefault="001553F2" w:rsidP="001D7D24">
      <w:pPr>
        <w:ind w:left="0"/>
        <w:jc w:val="center"/>
        <w:rPr>
          <w:rFonts w:ascii="Arial Black" w:hAnsi="Arial Black"/>
          <w:b/>
          <w:sz w:val="28"/>
        </w:rPr>
      </w:pPr>
      <w:r w:rsidRPr="0026542B">
        <w:rPr>
          <w:rFonts w:ascii="Arial Black" w:hAnsi="Arial Black"/>
          <w:b/>
          <w:sz w:val="28"/>
        </w:rPr>
        <w:t>Pump System</w:t>
      </w:r>
      <w:r w:rsidR="001D7D24" w:rsidRPr="0026542B">
        <w:rPr>
          <w:rFonts w:ascii="Arial Black" w:hAnsi="Arial Black"/>
          <w:b/>
          <w:sz w:val="28"/>
        </w:rPr>
        <w:t xml:space="preserve"> Assessment Guidance</w:t>
      </w:r>
    </w:p>
    <w:p w:rsidR="001D7D24" w:rsidRDefault="001D7D24" w:rsidP="001D7D24">
      <w:pPr>
        <w:jc w:val="center"/>
        <w:rPr>
          <w:rFonts w:asciiTheme="majorHAnsi" w:hAnsiTheme="majorHAnsi"/>
          <w:b/>
        </w:rPr>
      </w:pPr>
    </w:p>
    <w:p w:rsidR="008C7660" w:rsidRDefault="008C7660" w:rsidP="001D7D24">
      <w:pPr>
        <w:jc w:val="center"/>
        <w:rPr>
          <w:rFonts w:asciiTheme="majorHAnsi" w:hAnsiTheme="majorHAnsi"/>
          <w:b/>
        </w:rPr>
        <w:sectPr w:rsidR="008C7660" w:rsidSect="0026542B">
          <w:footerReference w:type="default" r:id="rId8"/>
          <w:headerReference w:type="first" r:id="rId9"/>
          <w:pgSz w:w="12240" w:h="15840" w:code="1"/>
          <w:pgMar w:top="720" w:right="720" w:bottom="720" w:left="720" w:header="1397" w:footer="432" w:gutter="0"/>
          <w:cols w:space="720"/>
          <w:noEndnote/>
          <w:titlePg/>
          <w:docGrid w:linePitch="326"/>
        </w:sectPr>
      </w:pPr>
    </w:p>
    <w:p w:rsidR="001D7D24" w:rsidRPr="0026542B" w:rsidRDefault="001D7D24" w:rsidP="0026542B">
      <w:pPr>
        <w:ind w:left="0"/>
        <w:rPr>
          <w:rFonts w:ascii="Arial" w:hAnsi="Arial" w:cs="Arial"/>
          <w:b/>
          <w:sz w:val="20"/>
          <w:szCs w:val="20"/>
        </w:rPr>
      </w:pPr>
      <w:r w:rsidRPr="0026542B">
        <w:rPr>
          <w:rFonts w:ascii="Arial" w:hAnsi="Arial" w:cs="Arial"/>
          <w:b/>
          <w:sz w:val="20"/>
          <w:szCs w:val="20"/>
        </w:rPr>
        <w:lastRenderedPageBreak/>
        <w:t xml:space="preserve">General </w:t>
      </w:r>
      <w:r w:rsidR="00983896" w:rsidRPr="0026542B">
        <w:rPr>
          <w:rFonts w:ascii="Arial" w:hAnsi="Arial" w:cs="Arial"/>
          <w:b/>
          <w:sz w:val="20"/>
          <w:szCs w:val="20"/>
        </w:rPr>
        <w:t>Pumping System</w:t>
      </w:r>
      <w:r w:rsidR="00782A35" w:rsidRPr="0026542B">
        <w:rPr>
          <w:rFonts w:ascii="Arial" w:hAnsi="Arial" w:cs="Arial"/>
          <w:b/>
          <w:sz w:val="20"/>
          <w:szCs w:val="20"/>
        </w:rPr>
        <w:t xml:space="preserve"> </w:t>
      </w:r>
      <w:r w:rsidRPr="0026542B">
        <w:rPr>
          <w:rFonts w:ascii="Arial" w:hAnsi="Arial" w:cs="Arial"/>
          <w:b/>
          <w:sz w:val="20"/>
          <w:szCs w:val="20"/>
        </w:rPr>
        <w:t xml:space="preserve">Assessment </w:t>
      </w:r>
      <w:r w:rsidR="00081E5D" w:rsidRPr="0026542B">
        <w:rPr>
          <w:rFonts w:ascii="Arial" w:hAnsi="Arial" w:cs="Arial"/>
          <w:b/>
          <w:sz w:val="20"/>
          <w:szCs w:val="20"/>
        </w:rPr>
        <w:t>Procedure</w:t>
      </w:r>
      <w:r w:rsidRPr="0026542B">
        <w:rPr>
          <w:rFonts w:ascii="Arial" w:hAnsi="Arial" w:cs="Arial"/>
          <w:b/>
          <w:sz w:val="20"/>
          <w:szCs w:val="20"/>
        </w:rPr>
        <w:t>:</w:t>
      </w:r>
    </w:p>
    <w:p w:rsidR="001D7D24" w:rsidRPr="0026542B" w:rsidRDefault="001D7D24" w:rsidP="0026542B">
      <w:pPr>
        <w:ind w:left="0"/>
        <w:rPr>
          <w:b/>
          <w:sz w:val="20"/>
          <w:szCs w:val="20"/>
        </w:rPr>
      </w:pPr>
    </w:p>
    <w:p w:rsidR="00BB1C9C" w:rsidRPr="0026542B" w:rsidRDefault="00BB1C9C" w:rsidP="0026542B">
      <w:pPr>
        <w:numPr>
          <w:ilvl w:val="0"/>
          <w:numId w:val="1"/>
        </w:numPr>
        <w:tabs>
          <w:tab w:val="clear" w:pos="720"/>
          <w:tab w:val="num" w:pos="360"/>
        </w:tabs>
        <w:ind w:left="360"/>
        <w:rPr>
          <w:sz w:val="20"/>
          <w:szCs w:val="20"/>
        </w:rPr>
      </w:pPr>
      <w:r w:rsidRPr="0026542B">
        <w:rPr>
          <w:sz w:val="20"/>
          <w:szCs w:val="20"/>
        </w:rPr>
        <w:t>Get copies of mechanical drawings (</w:t>
      </w:r>
      <w:r w:rsidR="00E65692" w:rsidRPr="0026542B">
        <w:rPr>
          <w:sz w:val="20"/>
          <w:szCs w:val="20"/>
        </w:rPr>
        <w:t xml:space="preserve">Determine </w:t>
      </w:r>
      <w:r w:rsidR="0009290C" w:rsidRPr="0026542B">
        <w:rPr>
          <w:sz w:val="20"/>
          <w:szCs w:val="20"/>
        </w:rPr>
        <w:t xml:space="preserve">pumping system </w:t>
      </w:r>
      <w:r w:rsidR="00983896" w:rsidRPr="0026542B">
        <w:rPr>
          <w:sz w:val="20"/>
          <w:szCs w:val="20"/>
        </w:rPr>
        <w:t>specifications</w:t>
      </w:r>
      <w:r w:rsidRPr="0026542B">
        <w:rPr>
          <w:sz w:val="20"/>
          <w:szCs w:val="20"/>
        </w:rPr>
        <w:t>)</w:t>
      </w:r>
    </w:p>
    <w:p w:rsidR="0009290C" w:rsidRPr="0026542B" w:rsidRDefault="0009290C" w:rsidP="0026542B">
      <w:pPr>
        <w:numPr>
          <w:ilvl w:val="0"/>
          <w:numId w:val="1"/>
        </w:numPr>
        <w:tabs>
          <w:tab w:val="clear" w:pos="720"/>
          <w:tab w:val="num" w:pos="360"/>
        </w:tabs>
        <w:ind w:left="360"/>
        <w:rPr>
          <w:sz w:val="20"/>
          <w:szCs w:val="20"/>
        </w:rPr>
      </w:pPr>
      <w:r w:rsidRPr="0026542B">
        <w:rPr>
          <w:sz w:val="20"/>
          <w:szCs w:val="20"/>
        </w:rPr>
        <w:t>Get copies of pump engineering specification sheets (head versus flow rate for various impeller sizes)</w:t>
      </w:r>
    </w:p>
    <w:p w:rsidR="00833A76" w:rsidRPr="0026542B" w:rsidRDefault="00833A76" w:rsidP="0026542B">
      <w:pPr>
        <w:numPr>
          <w:ilvl w:val="0"/>
          <w:numId w:val="1"/>
        </w:numPr>
        <w:tabs>
          <w:tab w:val="clear" w:pos="720"/>
          <w:tab w:val="num" w:pos="360"/>
        </w:tabs>
        <w:ind w:left="360"/>
        <w:rPr>
          <w:sz w:val="20"/>
          <w:szCs w:val="20"/>
        </w:rPr>
      </w:pPr>
      <w:r w:rsidRPr="0026542B">
        <w:rPr>
          <w:sz w:val="20"/>
          <w:szCs w:val="20"/>
        </w:rPr>
        <w:t xml:space="preserve">Fill out </w:t>
      </w:r>
      <w:r w:rsidR="0009290C" w:rsidRPr="0026542B">
        <w:rPr>
          <w:sz w:val="20"/>
          <w:szCs w:val="20"/>
        </w:rPr>
        <w:t xml:space="preserve">pumping system </w:t>
      </w:r>
      <w:r w:rsidRPr="0026542B">
        <w:rPr>
          <w:sz w:val="20"/>
          <w:szCs w:val="20"/>
        </w:rPr>
        <w:t xml:space="preserve">data collection forms and sketch out the </w:t>
      </w:r>
      <w:r w:rsidR="00983896" w:rsidRPr="0026542B">
        <w:rPr>
          <w:sz w:val="20"/>
          <w:szCs w:val="20"/>
        </w:rPr>
        <w:t xml:space="preserve">pump </w:t>
      </w:r>
      <w:r w:rsidRPr="0026542B">
        <w:rPr>
          <w:sz w:val="20"/>
          <w:szCs w:val="20"/>
        </w:rPr>
        <w:t>system configuration</w:t>
      </w:r>
    </w:p>
    <w:p w:rsidR="00836229" w:rsidRPr="0026542B" w:rsidRDefault="00836229" w:rsidP="0026542B">
      <w:pPr>
        <w:ind w:left="0"/>
        <w:rPr>
          <w:i/>
          <w:sz w:val="20"/>
          <w:szCs w:val="20"/>
        </w:rPr>
      </w:pPr>
    </w:p>
    <w:p w:rsidR="00485157" w:rsidRPr="0026542B" w:rsidRDefault="00485157" w:rsidP="0026542B">
      <w:pPr>
        <w:ind w:left="0"/>
        <w:rPr>
          <w:i/>
          <w:sz w:val="20"/>
          <w:szCs w:val="20"/>
        </w:rPr>
      </w:pPr>
      <w:r w:rsidRPr="0026542B">
        <w:rPr>
          <w:i/>
          <w:sz w:val="20"/>
          <w:szCs w:val="20"/>
        </w:rPr>
        <w:t xml:space="preserve">Note: (The following retro-commissioning information was taken directly from PECI’s functional testing guide </w:t>
      </w:r>
      <w:hyperlink r:id="rId10" w:history="1">
        <w:r w:rsidRPr="0026542B">
          <w:rPr>
            <w:rStyle w:val="Hyperlink"/>
            <w:i/>
            <w:color w:val="auto"/>
            <w:sz w:val="20"/>
            <w:szCs w:val="20"/>
          </w:rPr>
          <w:t>http://www.peci.org/ftguide/</w:t>
        </w:r>
      </w:hyperlink>
      <w:r w:rsidR="00170EF1" w:rsidRPr="0026542B">
        <w:rPr>
          <w:sz w:val="20"/>
          <w:szCs w:val="20"/>
        </w:rPr>
        <w:t xml:space="preserve"> </w:t>
      </w:r>
      <w:r w:rsidR="00170EF1" w:rsidRPr="0026542B">
        <w:rPr>
          <w:i/>
          <w:sz w:val="20"/>
          <w:szCs w:val="20"/>
        </w:rPr>
        <w:t>and modified</w:t>
      </w:r>
      <w:r w:rsidR="00421CFC" w:rsidRPr="0026542B">
        <w:rPr>
          <w:i/>
          <w:sz w:val="20"/>
          <w:szCs w:val="20"/>
        </w:rPr>
        <w:t xml:space="preserve"> to accommodate the needs of the NREL energy assessment training course attendees.</w:t>
      </w:r>
      <w:r w:rsidRPr="0026542B">
        <w:rPr>
          <w:i/>
          <w:sz w:val="20"/>
          <w:szCs w:val="20"/>
        </w:rPr>
        <w:t>)</w:t>
      </w:r>
    </w:p>
    <w:p w:rsidR="0009290C" w:rsidRPr="0026542B" w:rsidRDefault="0009290C" w:rsidP="0026542B">
      <w:pPr>
        <w:spacing w:before="100" w:beforeAutospacing="1"/>
        <w:ind w:left="0"/>
        <w:outlineLvl w:val="2"/>
        <w:rPr>
          <w:rFonts w:ascii="Arial" w:hAnsi="Arial" w:cs="Arial"/>
          <w:b/>
          <w:bCs/>
          <w:sz w:val="20"/>
          <w:szCs w:val="20"/>
        </w:rPr>
      </w:pPr>
      <w:bookmarkStart w:id="0" w:name="staging"/>
      <w:bookmarkEnd w:id="0"/>
      <w:r w:rsidRPr="0026542B">
        <w:rPr>
          <w:rFonts w:ascii="Arial" w:hAnsi="Arial" w:cs="Arial"/>
          <w:b/>
          <w:bCs/>
          <w:sz w:val="20"/>
          <w:szCs w:val="20"/>
        </w:rPr>
        <w:t>Constant Volume Systems</w:t>
      </w:r>
    </w:p>
    <w:p w:rsidR="0009290C" w:rsidRPr="0026542B" w:rsidRDefault="0009290C" w:rsidP="0026542B">
      <w:pPr>
        <w:pStyle w:val="bodytext"/>
        <w:rPr>
          <w:sz w:val="20"/>
          <w:szCs w:val="20"/>
        </w:rPr>
      </w:pPr>
      <w:r w:rsidRPr="0026542B">
        <w:rPr>
          <w:sz w:val="20"/>
          <w:szCs w:val="20"/>
        </w:rPr>
        <w:t>The performance of a constant flow water system is acceptable if it meets the design intent and specified operating sequence.  In some instances, witnessing the flushing and pressure testing of individual coils and/or distribution piping may be required.</w:t>
      </w:r>
    </w:p>
    <w:p w:rsidR="0009290C" w:rsidRPr="0026542B" w:rsidRDefault="0009290C" w:rsidP="0026542B">
      <w:pPr>
        <w:spacing w:before="120" w:after="120"/>
        <w:ind w:left="0"/>
        <w:outlineLvl w:val="4"/>
        <w:rPr>
          <w:rFonts w:ascii="Arial" w:hAnsi="Arial" w:cs="Arial"/>
          <w:b/>
          <w:bCs/>
          <w:sz w:val="20"/>
          <w:szCs w:val="20"/>
        </w:rPr>
      </w:pPr>
      <w:bookmarkStart w:id="1" w:name="actseq_cv"/>
      <w:bookmarkEnd w:id="1"/>
      <w:r w:rsidRPr="0026542B">
        <w:rPr>
          <w:rFonts w:ascii="Arial" w:hAnsi="Arial" w:cs="Arial"/>
          <w:b/>
          <w:bCs/>
          <w:sz w:val="20"/>
          <w:szCs w:val="20"/>
        </w:rPr>
        <w:t>Actuation and Sequencing</w:t>
      </w:r>
    </w:p>
    <w:p w:rsidR="0009290C" w:rsidRPr="0026542B" w:rsidRDefault="0009290C" w:rsidP="0026542B">
      <w:pPr>
        <w:numPr>
          <w:ilvl w:val="0"/>
          <w:numId w:val="5"/>
        </w:numPr>
        <w:ind w:left="396"/>
        <w:rPr>
          <w:sz w:val="20"/>
          <w:szCs w:val="20"/>
        </w:rPr>
      </w:pPr>
      <w:r w:rsidRPr="0026542B">
        <w:rPr>
          <w:sz w:val="20"/>
          <w:szCs w:val="20"/>
        </w:rPr>
        <w:t xml:space="preserve">Verify proper stroke for control valves to ensure that they open and close completely (coil valves, isolation valves, etc.).  </w:t>
      </w:r>
      <w:r w:rsidRPr="0026542B">
        <w:rPr>
          <w:i/>
          <w:sz w:val="20"/>
          <w:szCs w:val="20"/>
        </w:rPr>
        <w:t>Control valve leakage testing reveals no detectable leakage when valve is commanded closed.</w:t>
      </w:r>
    </w:p>
    <w:p w:rsidR="0009290C" w:rsidRPr="0026542B" w:rsidRDefault="0009290C" w:rsidP="0026542B">
      <w:pPr>
        <w:ind w:left="396"/>
        <w:rPr>
          <w:sz w:val="20"/>
          <w:szCs w:val="20"/>
        </w:rPr>
      </w:pPr>
    </w:p>
    <w:p w:rsidR="0009290C" w:rsidRPr="0026542B" w:rsidRDefault="0009290C" w:rsidP="0026542B">
      <w:pPr>
        <w:numPr>
          <w:ilvl w:val="0"/>
          <w:numId w:val="5"/>
        </w:numPr>
        <w:ind w:left="396"/>
        <w:rPr>
          <w:sz w:val="20"/>
          <w:szCs w:val="20"/>
        </w:rPr>
      </w:pPr>
      <w:r w:rsidRPr="0026542B">
        <w:rPr>
          <w:sz w:val="20"/>
          <w:szCs w:val="20"/>
        </w:rPr>
        <w:t xml:space="preserve">Verify proper distribution pump staging per the sequence of operations. </w:t>
      </w:r>
      <w:r w:rsidRPr="0026542B">
        <w:rPr>
          <w:i/>
          <w:sz w:val="20"/>
          <w:szCs w:val="20"/>
        </w:rPr>
        <w:t>Frequently, water and air temperature reset strategies are not coordinated; this can result in the unnecessary staging of distribution pumps ON. Optimizing various reset strategies, during both initial system set-up and commissioning will improve system control and minimize pumping energy.</w:t>
      </w:r>
    </w:p>
    <w:p w:rsidR="0009290C" w:rsidRPr="0026542B" w:rsidRDefault="0009290C" w:rsidP="0026542B">
      <w:pPr>
        <w:ind w:left="396"/>
        <w:rPr>
          <w:sz w:val="20"/>
          <w:szCs w:val="20"/>
        </w:rPr>
      </w:pPr>
    </w:p>
    <w:p w:rsidR="0009290C" w:rsidRPr="0026542B" w:rsidRDefault="0009290C" w:rsidP="0026542B">
      <w:pPr>
        <w:numPr>
          <w:ilvl w:val="0"/>
          <w:numId w:val="5"/>
        </w:numPr>
        <w:ind w:left="396"/>
        <w:rPr>
          <w:sz w:val="20"/>
          <w:szCs w:val="20"/>
        </w:rPr>
      </w:pPr>
      <w:r w:rsidRPr="0026542B">
        <w:rPr>
          <w:sz w:val="20"/>
          <w:szCs w:val="20"/>
        </w:rPr>
        <w:t xml:space="preserve">Verify that 3-way control valves modulate correctly. </w:t>
      </w:r>
      <w:r w:rsidRPr="0026542B">
        <w:rPr>
          <w:i/>
          <w:sz w:val="20"/>
          <w:szCs w:val="20"/>
        </w:rPr>
        <w:t>This will help to ensure that simultaneous heating and cooling does not occur. For example, a leaky hot water valve on a pre-heat or heating coil will add unwanted heat to the air stream which can cause the chilled water valve to modulate open; this wastes heating and cooling energy.</w:t>
      </w:r>
    </w:p>
    <w:p w:rsidR="0009290C" w:rsidRPr="0026542B" w:rsidRDefault="0009290C" w:rsidP="0026542B">
      <w:pPr>
        <w:pStyle w:val="bodytext"/>
        <w:rPr>
          <w:sz w:val="20"/>
          <w:szCs w:val="20"/>
        </w:rPr>
      </w:pPr>
      <w:r w:rsidRPr="0026542B">
        <w:rPr>
          <w:sz w:val="20"/>
          <w:szCs w:val="20"/>
        </w:rPr>
        <w:t>Review TAB report, including flow, impeller size, and motor volt/amp measurements.</w:t>
      </w:r>
    </w:p>
    <w:p w:rsidR="0009290C" w:rsidRPr="0026542B" w:rsidRDefault="0026542B" w:rsidP="0026542B">
      <w:pPr>
        <w:spacing w:before="120" w:after="120"/>
        <w:ind w:left="0"/>
        <w:outlineLvl w:val="4"/>
        <w:rPr>
          <w:rFonts w:ascii="Arial" w:hAnsi="Arial" w:cs="Arial"/>
          <w:b/>
          <w:bCs/>
          <w:sz w:val="20"/>
          <w:szCs w:val="20"/>
        </w:rPr>
      </w:pPr>
      <w:bookmarkStart w:id="2" w:name="CtrlAccStab_cv"/>
      <w:bookmarkEnd w:id="2"/>
      <w:r>
        <w:rPr>
          <w:rFonts w:ascii="Arial" w:hAnsi="Arial" w:cs="Arial"/>
          <w:b/>
          <w:bCs/>
          <w:sz w:val="20"/>
          <w:szCs w:val="20"/>
        </w:rPr>
        <w:br w:type="column"/>
      </w:r>
      <w:r w:rsidR="0009290C" w:rsidRPr="0026542B">
        <w:rPr>
          <w:rFonts w:ascii="Arial" w:hAnsi="Arial" w:cs="Arial"/>
          <w:b/>
          <w:bCs/>
          <w:sz w:val="20"/>
          <w:szCs w:val="20"/>
        </w:rPr>
        <w:lastRenderedPageBreak/>
        <w:t>Control Accuracy and Stability</w:t>
      </w:r>
    </w:p>
    <w:p w:rsidR="0009290C" w:rsidRPr="0026542B" w:rsidRDefault="0009290C" w:rsidP="0026542B">
      <w:pPr>
        <w:numPr>
          <w:ilvl w:val="0"/>
          <w:numId w:val="5"/>
        </w:numPr>
        <w:ind w:left="396"/>
        <w:rPr>
          <w:sz w:val="20"/>
          <w:szCs w:val="20"/>
        </w:rPr>
      </w:pPr>
      <w:r w:rsidRPr="0026542B">
        <w:rPr>
          <w:sz w:val="20"/>
          <w:szCs w:val="20"/>
        </w:rPr>
        <w:t xml:space="preserve">Verify proper control sequence and integration over all </w:t>
      </w:r>
      <w:r w:rsidR="0026542B">
        <w:rPr>
          <w:sz w:val="20"/>
          <w:szCs w:val="20"/>
        </w:rPr>
        <w:t xml:space="preserve">components (such as setpoints, </w:t>
      </w:r>
      <w:r w:rsidRPr="0026542B">
        <w:rPr>
          <w:sz w:val="20"/>
          <w:szCs w:val="20"/>
        </w:rPr>
        <w:t xml:space="preserve">start-up/shut-down procedures, and time delays). </w:t>
      </w:r>
      <w:r w:rsidRPr="0026542B">
        <w:rPr>
          <w:i/>
          <w:sz w:val="20"/>
          <w:szCs w:val="20"/>
        </w:rPr>
        <w:t>This includes verification of proper stand-by pump operation in the case of a lead pump failure. Temperature control strategies impact water flow through the system and pump staging, which can cause system instability. Typically, testing entails verifying that the PID loop generates the proper control signal based on the setpoint. Testing should also verify the setpoints are optimized for the system or recommend modifications, if necessary.</w:t>
      </w:r>
    </w:p>
    <w:p w:rsidR="0009290C" w:rsidRPr="0026542B" w:rsidRDefault="0009290C" w:rsidP="0026542B">
      <w:pPr>
        <w:pStyle w:val="bodytext"/>
        <w:rPr>
          <w:sz w:val="20"/>
          <w:szCs w:val="20"/>
        </w:rPr>
      </w:pPr>
      <w:bookmarkStart w:id="3" w:name="KeyPrepsCautions_CF"/>
      <w:bookmarkEnd w:id="3"/>
      <w:r w:rsidRPr="0026542B">
        <w:rPr>
          <w:sz w:val="20"/>
          <w:szCs w:val="20"/>
        </w:rPr>
        <w:t>Valve leakage tests and tests that are targeted at verifying valve stroke, spring range, and sequencing should be conducted with the pumping system operating at its peak differential pressure. The differential pressure across the valve plug can have a significant impact on the close-off rating and shift the operating spring range of the valve. These tests should be performed prior to temporary system operation to ensure that equipment will not be damaged during functional testing.</w:t>
      </w:r>
    </w:p>
    <w:p w:rsidR="0009290C" w:rsidRPr="0026542B" w:rsidRDefault="0009290C" w:rsidP="0026542B">
      <w:pPr>
        <w:spacing w:before="120" w:after="120"/>
        <w:ind w:left="0"/>
        <w:outlineLvl w:val="4"/>
        <w:rPr>
          <w:rFonts w:ascii="Arial" w:hAnsi="Arial" w:cs="Arial"/>
          <w:b/>
          <w:bCs/>
          <w:sz w:val="20"/>
          <w:szCs w:val="20"/>
        </w:rPr>
      </w:pPr>
      <w:r w:rsidRPr="0026542B">
        <w:rPr>
          <w:rFonts w:ascii="Arial" w:hAnsi="Arial" w:cs="Arial"/>
          <w:b/>
          <w:bCs/>
          <w:sz w:val="20"/>
          <w:szCs w:val="20"/>
        </w:rPr>
        <w:t>Test Conditions, Considerations, and Cautions</w:t>
      </w:r>
    </w:p>
    <w:p w:rsidR="0009290C" w:rsidRPr="0026542B" w:rsidRDefault="0009290C" w:rsidP="0026542B">
      <w:pPr>
        <w:pStyle w:val="bodytext"/>
        <w:rPr>
          <w:sz w:val="20"/>
          <w:szCs w:val="20"/>
        </w:rPr>
      </w:pPr>
      <w:r w:rsidRPr="0026542B">
        <w:rPr>
          <w:sz w:val="20"/>
          <w:szCs w:val="20"/>
        </w:rPr>
        <w:t>The following points should be noted to avoid testing complications:</w:t>
      </w:r>
    </w:p>
    <w:p w:rsidR="0009290C" w:rsidRPr="0026542B" w:rsidRDefault="0009290C" w:rsidP="0026542B">
      <w:pPr>
        <w:pStyle w:val="li"/>
        <w:rPr>
          <w:sz w:val="20"/>
          <w:szCs w:val="20"/>
        </w:rPr>
      </w:pPr>
      <w:r w:rsidRPr="0026542B">
        <w:rPr>
          <w:sz w:val="20"/>
          <w:szCs w:val="20"/>
        </w:rPr>
        <w:t>Rapid stroking of valves during a test process can cause water hammer problems in the piping systems. Consider stroking each valve in stages to prevent slamming valves open or closed, giving the system time to respond appropriately.</w:t>
      </w:r>
    </w:p>
    <w:p w:rsidR="0009290C" w:rsidRPr="0026542B" w:rsidRDefault="0009290C" w:rsidP="0026542B">
      <w:pPr>
        <w:spacing w:before="100" w:beforeAutospacing="1"/>
        <w:ind w:left="0"/>
        <w:outlineLvl w:val="2"/>
        <w:rPr>
          <w:rFonts w:ascii="Arial" w:hAnsi="Arial" w:cs="Arial"/>
          <w:b/>
          <w:bCs/>
          <w:sz w:val="20"/>
          <w:szCs w:val="20"/>
        </w:rPr>
      </w:pPr>
      <w:bookmarkStart w:id="4" w:name="Time_Required_to_Test_CF"/>
      <w:bookmarkStart w:id="5" w:name="Functional_Testing_VF"/>
      <w:bookmarkStart w:id="6" w:name="Functional_Testing_Field_VF"/>
      <w:bookmarkEnd w:id="4"/>
      <w:bookmarkEnd w:id="5"/>
      <w:bookmarkEnd w:id="6"/>
      <w:r w:rsidRPr="0026542B">
        <w:rPr>
          <w:rFonts w:ascii="Arial" w:hAnsi="Arial" w:cs="Arial"/>
          <w:b/>
          <w:bCs/>
          <w:sz w:val="20"/>
          <w:szCs w:val="20"/>
        </w:rPr>
        <w:t>Functional Testing Field Tips – Variable Flow</w:t>
      </w:r>
    </w:p>
    <w:p w:rsidR="0009290C" w:rsidRPr="0026542B" w:rsidRDefault="0009290C" w:rsidP="0026542B">
      <w:pPr>
        <w:spacing w:before="120" w:after="120"/>
        <w:ind w:left="0"/>
        <w:outlineLvl w:val="4"/>
        <w:rPr>
          <w:b/>
          <w:bCs/>
          <w:sz w:val="20"/>
          <w:szCs w:val="20"/>
        </w:rPr>
      </w:pPr>
      <w:r w:rsidRPr="0026542B">
        <w:rPr>
          <w:b/>
          <w:bCs/>
          <w:sz w:val="20"/>
          <w:szCs w:val="20"/>
        </w:rPr>
        <w:t>Actuation and Sequencing</w:t>
      </w:r>
    </w:p>
    <w:p w:rsidR="0009290C" w:rsidRPr="0026542B" w:rsidRDefault="00B0553B" w:rsidP="0026542B">
      <w:pPr>
        <w:numPr>
          <w:ilvl w:val="0"/>
          <w:numId w:val="5"/>
        </w:numPr>
        <w:ind w:left="396"/>
        <w:rPr>
          <w:sz w:val="20"/>
          <w:szCs w:val="20"/>
        </w:rPr>
      </w:pPr>
      <w:r w:rsidRPr="0026542B">
        <w:rPr>
          <w:bCs/>
          <w:sz w:val="20"/>
          <w:szCs w:val="20"/>
        </w:rPr>
        <w:t>Verify t</w:t>
      </w:r>
      <w:r w:rsidR="0009290C" w:rsidRPr="0026542B">
        <w:rPr>
          <w:sz w:val="20"/>
          <w:szCs w:val="20"/>
        </w:rPr>
        <w:t>wo-position control valves associated with the respec</w:t>
      </w:r>
      <w:r w:rsidRPr="0026542B">
        <w:rPr>
          <w:sz w:val="20"/>
          <w:szCs w:val="20"/>
        </w:rPr>
        <w:t xml:space="preserve">tive equipment open fully upon </w:t>
      </w:r>
      <w:r w:rsidR="0009290C" w:rsidRPr="0026542B">
        <w:rPr>
          <w:sz w:val="20"/>
          <w:szCs w:val="20"/>
        </w:rPr>
        <w:t xml:space="preserve">start-up and close fully upon shutdown. This is typical for water-source heat pumps and </w:t>
      </w:r>
      <w:r w:rsidR="0009290C" w:rsidRPr="0026542B">
        <w:rPr>
          <w:sz w:val="20"/>
          <w:szCs w:val="20"/>
        </w:rPr>
        <w:tab/>
        <w:t>water-cooled process equipment.</w:t>
      </w:r>
    </w:p>
    <w:p w:rsidR="0009290C" w:rsidRPr="0026542B" w:rsidRDefault="0009290C" w:rsidP="0026542B">
      <w:pPr>
        <w:numPr>
          <w:ilvl w:val="0"/>
          <w:numId w:val="5"/>
        </w:numPr>
        <w:ind w:left="396"/>
        <w:rPr>
          <w:sz w:val="20"/>
          <w:szCs w:val="20"/>
        </w:rPr>
      </w:pPr>
      <w:bookmarkStart w:id="7" w:name="ActSeq4_vv"/>
      <w:bookmarkEnd w:id="7"/>
      <w:r w:rsidRPr="0026542B">
        <w:rPr>
          <w:sz w:val="20"/>
          <w:szCs w:val="20"/>
        </w:rPr>
        <w:t xml:space="preserve">Verify proper distribution pump staging and VFD control (if applicable) per the sequence of operations. </w:t>
      </w:r>
      <w:r w:rsidRPr="0026542B">
        <w:rPr>
          <w:i/>
          <w:sz w:val="20"/>
          <w:szCs w:val="20"/>
        </w:rPr>
        <w:t xml:space="preserve">Typically, distribution pumps in variable flow systems utilize a VFD to modulate pump speed in order to deliver water flow that matches system loads. VFD staging and modulation control is normally based on maintaining a constant </w:t>
      </w:r>
      <w:r w:rsidRPr="0026542B">
        <w:rPr>
          <w:i/>
          <w:sz w:val="20"/>
          <w:szCs w:val="20"/>
        </w:rPr>
        <w:lastRenderedPageBreak/>
        <w:t>differential pressure either across the distribution pumps themselves or out in the loop. The differential pressure setpoint is based on the pressure required to provide adequate flow through the worst case load (for example, the load with the highest overall pressure drop piping losses and device requirements) at full load. Often, the setpoint (either specified by the design engineer or estimated by the controls contractor, if not provided) is set artificially high, wasting pumping energy for the life of the building. The actual</w:t>
      </w:r>
      <w:r w:rsidR="00261568" w:rsidRPr="0026542B">
        <w:rPr>
          <w:i/>
          <w:sz w:val="20"/>
          <w:szCs w:val="20"/>
        </w:rPr>
        <w:t xml:space="preserve"> </w:t>
      </w:r>
      <w:r w:rsidRPr="0026542B">
        <w:rPr>
          <w:i/>
          <w:sz w:val="20"/>
          <w:szCs w:val="20"/>
        </w:rPr>
        <w:t>system pressure setpoint should be determined during the initial system set-up and commissioning to improve system control and minimize pumping energy.</w:t>
      </w:r>
    </w:p>
    <w:p w:rsidR="0009290C" w:rsidRPr="0026542B" w:rsidRDefault="0009290C" w:rsidP="0026542B">
      <w:pPr>
        <w:spacing w:before="120" w:after="120"/>
        <w:ind w:left="0"/>
        <w:outlineLvl w:val="4"/>
        <w:rPr>
          <w:b/>
          <w:bCs/>
          <w:sz w:val="20"/>
          <w:szCs w:val="20"/>
        </w:rPr>
      </w:pPr>
      <w:r w:rsidRPr="0026542B">
        <w:rPr>
          <w:b/>
          <w:bCs/>
          <w:sz w:val="20"/>
          <w:szCs w:val="20"/>
        </w:rPr>
        <w:t>Setpoints and Reset Controls</w:t>
      </w:r>
    </w:p>
    <w:p w:rsidR="0009290C" w:rsidRPr="0026542B" w:rsidRDefault="0009290C" w:rsidP="0026542B">
      <w:pPr>
        <w:numPr>
          <w:ilvl w:val="0"/>
          <w:numId w:val="5"/>
        </w:numPr>
        <w:ind w:left="396"/>
        <w:rPr>
          <w:sz w:val="20"/>
          <w:szCs w:val="20"/>
        </w:rPr>
      </w:pPr>
      <w:r w:rsidRPr="0026542B">
        <w:rPr>
          <w:sz w:val="20"/>
          <w:szCs w:val="20"/>
        </w:rPr>
        <w:t>The system operates and maintains chilled and hot wate</w:t>
      </w:r>
      <w:r w:rsidR="0026542B">
        <w:rPr>
          <w:sz w:val="20"/>
          <w:szCs w:val="20"/>
        </w:rPr>
        <w:t xml:space="preserve">r supply temperature setpoints </w:t>
      </w:r>
      <w:r w:rsidRPr="0026542B">
        <w:rPr>
          <w:sz w:val="20"/>
          <w:szCs w:val="20"/>
        </w:rPr>
        <w:t xml:space="preserve">and discharge air temperature setpoints in all modes including morning warm-up, </w:t>
      </w:r>
      <w:r w:rsidRPr="0026542B">
        <w:rPr>
          <w:sz w:val="20"/>
          <w:szCs w:val="20"/>
        </w:rPr>
        <w:tab/>
        <w:t>occupied mode, and night low limit mode.</w:t>
      </w:r>
    </w:p>
    <w:p w:rsidR="0009290C" w:rsidRPr="0026542B" w:rsidRDefault="0009290C" w:rsidP="0026542B">
      <w:pPr>
        <w:numPr>
          <w:ilvl w:val="0"/>
          <w:numId w:val="5"/>
        </w:numPr>
        <w:ind w:left="396"/>
        <w:rPr>
          <w:sz w:val="20"/>
          <w:szCs w:val="20"/>
        </w:rPr>
      </w:pPr>
      <w:r w:rsidRPr="0026542B">
        <w:rPr>
          <w:sz w:val="20"/>
          <w:szCs w:val="20"/>
        </w:rPr>
        <w:t>VFD control loops generate the proper setpoint bas</w:t>
      </w:r>
      <w:r w:rsidR="0026542B">
        <w:rPr>
          <w:sz w:val="20"/>
          <w:szCs w:val="20"/>
        </w:rPr>
        <w:t xml:space="preserve">ed on the reset parameters (if </w:t>
      </w:r>
      <w:r w:rsidRPr="0026542B">
        <w:rPr>
          <w:sz w:val="20"/>
          <w:szCs w:val="20"/>
        </w:rPr>
        <w:t>applicable). Reset parameters are optimized for the system.</w:t>
      </w:r>
    </w:p>
    <w:p w:rsidR="0009290C" w:rsidRPr="0026542B" w:rsidRDefault="0009290C" w:rsidP="0026542B">
      <w:pPr>
        <w:numPr>
          <w:ilvl w:val="0"/>
          <w:numId w:val="5"/>
        </w:numPr>
        <w:ind w:left="396"/>
        <w:rPr>
          <w:sz w:val="20"/>
          <w:szCs w:val="20"/>
        </w:rPr>
      </w:pPr>
      <w:bookmarkStart w:id="8" w:name="SetpointsReset3_vv"/>
      <w:bookmarkEnd w:id="8"/>
      <w:r w:rsidRPr="0026542B">
        <w:rPr>
          <w:sz w:val="20"/>
          <w:szCs w:val="20"/>
        </w:rPr>
        <w:t xml:space="preserve">Verify differential pressure reset control strategy. </w:t>
      </w:r>
      <w:r w:rsidRPr="0026542B">
        <w:rPr>
          <w:i/>
          <w:sz w:val="20"/>
          <w:szCs w:val="20"/>
        </w:rPr>
        <w:t>Frequently, the discharge pressure setpoint is reset based on dynamic load requirements to reduce pump energy even further. Various indicators can be used to signify reduced load on the system, one example being valve position. In this control strategy, the system pressure setpoint is reset higher or lower in order to maintain one chilled water valve at a pre-set position (95% open, for example).</w:t>
      </w:r>
    </w:p>
    <w:p w:rsidR="0009290C" w:rsidRPr="0026542B" w:rsidRDefault="0009290C" w:rsidP="0026542B">
      <w:pPr>
        <w:numPr>
          <w:ilvl w:val="0"/>
          <w:numId w:val="5"/>
        </w:numPr>
        <w:ind w:left="396"/>
        <w:rPr>
          <w:sz w:val="20"/>
          <w:szCs w:val="20"/>
        </w:rPr>
      </w:pPr>
      <w:bookmarkStart w:id="9" w:name="SetpointsReset4_vv"/>
      <w:bookmarkEnd w:id="9"/>
      <w:r w:rsidRPr="0026542B">
        <w:rPr>
          <w:sz w:val="20"/>
          <w:szCs w:val="20"/>
        </w:rPr>
        <w:t xml:space="preserve">Verify proper coordination between individual setpoints and reset strategies. </w:t>
      </w:r>
      <w:r w:rsidRPr="0026542B">
        <w:rPr>
          <w:i/>
          <w:sz w:val="20"/>
          <w:szCs w:val="20"/>
        </w:rPr>
        <w:t>Resetting the chilled water supply temperature warrants close attention. Without coordination between chilled water temperature reset and discharge air temperature reset, the air handler may be trying to make colder air than is possible with the chilled water supply temperature. This situation will result in distribution</w:t>
      </w:r>
      <w:r w:rsidR="00983896" w:rsidRPr="0026542B">
        <w:rPr>
          <w:i/>
          <w:sz w:val="20"/>
          <w:szCs w:val="20"/>
        </w:rPr>
        <w:t xml:space="preserve"> </w:t>
      </w:r>
      <w:r w:rsidRPr="0026542B">
        <w:rPr>
          <w:i/>
          <w:sz w:val="20"/>
          <w:szCs w:val="20"/>
        </w:rPr>
        <w:t>pumps operating at full flow even though there is no load on the system, wasting significant pumping energy.</w:t>
      </w:r>
    </w:p>
    <w:p w:rsidR="0009290C" w:rsidRPr="0026542B" w:rsidRDefault="0009290C" w:rsidP="0026542B">
      <w:pPr>
        <w:spacing w:before="120" w:after="120"/>
        <w:ind w:left="0"/>
        <w:outlineLvl w:val="4"/>
        <w:rPr>
          <w:b/>
          <w:bCs/>
          <w:sz w:val="20"/>
          <w:szCs w:val="20"/>
        </w:rPr>
      </w:pPr>
      <w:bookmarkStart w:id="10" w:name="CtrlAccStab_vv"/>
      <w:bookmarkEnd w:id="10"/>
    </w:p>
    <w:sectPr w:rsidR="0009290C" w:rsidRPr="0026542B" w:rsidSect="0026542B">
      <w:type w:val="continuous"/>
      <w:pgSz w:w="12240" w:h="15840" w:code="1"/>
      <w:pgMar w:top="1080" w:right="1080" w:bottom="720" w:left="1080" w:header="1397" w:footer="432" w:gutter="0"/>
      <w:cols w:num="2"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DA4" w:rsidRDefault="005D6DA4" w:rsidP="001D7D24">
      <w:r>
        <w:separator/>
      </w:r>
    </w:p>
  </w:endnote>
  <w:endnote w:type="continuationSeparator" w:id="0">
    <w:p w:rsidR="005D6DA4" w:rsidRDefault="005D6DA4" w:rsidP="001D7D2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24" w:rsidRDefault="001D7D24" w:rsidP="001D7D2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DA4" w:rsidRDefault="005D6DA4" w:rsidP="001D7D24">
      <w:r>
        <w:separator/>
      </w:r>
    </w:p>
  </w:footnote>
  <w:footnote w:type="continuationSeparator" w:id="0">
    <w:p w:rsidR="005D6DA4" w:rsidRDefault="005D6DA4" w:rsidP="001D7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2B" w:rsidRDefault="0026542B">
    <w:pPr>
      <w:pStyle w:val="Header"/>
    </w:pPr>
    <w:r>
      <w:rPr>
        <w:noProof/>
      </w:rPr>
      <w:drawing>
        <wp:anchor distT="0" distB="0" distL="114300" distR="114300" simplePos="0" relativeHeight="251658240" behindDoc="0" locked="0" layoutInCell="1" allowOverlap="1">
          <wp:simplePos x="0" y="0"/>
          <wp:positionH relativeFrom="page">
            <wp:posOffset>457200</wp:posOffset>
          </wp:positionH>
          <wp:positionV relativeFrom="page">
            <wp:posOffset>457200</wp:posOffset>
          </wp:positionV>
          <wp:extent cx="1891665" cy="504825"/>
          <wp:effectExtent l="19050" t="0" r="0" b="0"/>
          <wp:wrapNone/>
          <wp:docPr id="2" name="Picture 1" descr="head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color"/>
                  <pic:cNvPicPr>
                    <a:picLocks noChangeAspect="1" noChangeArrowheads="1"/>
                  </pic:cNvPicPr>
                </pic:nvPicPr>
                <pic:blipFill>
                  <a:blip r:embed="rId1"/>
                  <a:srcRect/>
                  <a:stretch>
                    <a:fillRect/>
                  </a:stretch>
                </pic:blipFill>
                <pic:spPr bwMode="auto">
                  <a:xfrm>
                    <a:off x="0" y="0"/>
                    <a:ext cx="189166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02"/>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
    <w:nsid w:val="05FD77CD"/>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2">
    <w:nsid w:val="06D663ED"/>
    <w:multiLevelType w:val="hybridMultilevel"/>
    <w:tmpl w:val="7C2055D6"/>
    <w:lvl w:ilvl="0" w:tplc="0EDC5A76">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3">
    <w:nsid w:val="19657DD9"/>
    <w:multiLevelType w:val="hybridMultilevel"/>
    <w:tmpl w:val="9378C5B4"/>
    <w:lvl w:ilvl="0" w:tplc="33A6C89E">
      <w:start w:val="1"/>
      <w:numFmt w:val="decimal"/>
      <w:lvlText w:val="%1."/>
      <w:lvlJc w:val="left"/>
      <w:pPr>
        <w:tabs>
          <w:tab w:val="num" w:pos="720"/>
        </w:tabs>
        <w:ind w:left="720" w:hanging="360"/>
      </w:pPr>
    </w:lvl>
    <w:lvl w:ilvl="1" w:tplc="DF7C1A5C">
      <w:start w:val="1"/>
      <w:numFmt w:val="decimal"/>
      <w:lvlText w:val="%2."/>
      <w:lvlJc w:val="left"/>
      <w:pPr>
        <w:tabs>
          <w:tab w:val="num" w:pos="1440"/>
        </w:tabs>
        <w:ind w:left="1440" w:hanging="360"/>
      </w:pPr>
    </w:lvl>
    <w:lvl w:ilvl="2" w:tplc="B0B6E786">
      <w:start w:val="908"/>
      <w:numFmt w:val="bullet"/>
      <w:lvlText w:val="–"/>
      <w:lvlJc w:val="left"/>
      <w:pPr>
        <w:tabs>
          <w:tab w:val="num" w:pos="2160"/>
        </w:tabs>
        <w:ind w:left="2160" w:hanging="360"/>
      </w:pPr>
      <w:rPr>
        <w:rFonts w:ascii="Arial Narrow" w:hAnsi="Arial Narrow" w:hint="default"/>
      </w:rPr>
    </w:lvl>
    <w:lvl w:ilvl="3" w:tplc="81A4FEAE" w:tentative="1">
      <w:start w:val="1"/>
      <w:numFmt w:val="decimal"/>
      <w:lvlText w:val="%4."/>
      <w:lvlJc w:val="left"/>
      <w:pPr>
        <w:tabs>
          <w:tab w:val="num" w:pos="2880"/>
        </w:tabs>
        <w:ind w:left="2880" w:hanging="360"/>
      </w:pPr>
    </w:lvl>
    <w:lvl w:ilvl="4" w:tplc="265C0F04" w:tentative="1">
      <w:start w:val="1"/>
      <w:numFmt w:val="decimal"/>
      <w:lvlText w:val="%5."/>
      <w:lvlJc w:val="left"/>
      <w:pPr>
        <w:tabs>
          <w:tab w:val="num" w:pos="3600"/>
        </w:tabs>
        <w:ind w:left="3600" w:hanging="360"/>
      </w:pPr>
    </w:lvl>
    <w:lvl w:ilvl="5" w:tplc="7234930C" w:tentative="1">
      <w:start w:val="1"/>
      <w:numFmt w:val="decimal"/>
      <w:lvlText w:val="%6."/>
      <w:lvlJc w:val="left"/>
      <w:pPr>
        <w:tabs>
          <w:tab w:val="num" w:pos="4320"/>
        </w:tabs>
        <w:ind w:left="4320" w:hanging="360"/>
      </w:pPr>
    </w:lvl>
    <w:lvl w:ilvl="6" w:tplc="DBDC38A4" w:tentative="1">
      <w:start w:val="1"/>
      <w:numFmt w:val="decimal"/>
      <w:lvlText w:val="%7."/>
      <w:lvlJc w:val="left"/>
      <w:pPr>
        <w:tabs>
          <w:tab w:val="num" w:pos="5040"/>
        </w:tabs>
        <w:ind w:left="5040" w:hanging="360"/>
      </w:pPr>
    </w:lvl>
    <w:lvl w:ilvl="7" w:tplc="44C827C6" w:tentative="1">
      <w:start w:val="1"/>
      <w:numFmt w:val="decimal"/>
      <w:lvlText w:val="%8."/>
      <w:lvlJc w:val="left"/>
      <w:pPr>
        <w:tabs>
          <w:tab w:val="num" w:pos="5760"/>
        </w:tabs>
        <w:ind w:left="5760" w:hanging="360"/>
      </w:pPr>
    </w:lvl>
    <w:lvl w:ilvl="8" w:tplc="199006CA" w:tentative="1">
      <w:start w:val="1"/>
      <w:numFmt w:val="decimal"/>
      <w:lvlText w:val="%9."/>
      <w:lvlJc w:val="left"/>
      <w:pPr>
        <w:tabs>
          <w:tab w:val="num" w:pos="6480"/>
        </w:tabs>
        <w:ind w:left="6480" w:hanging="360"/>
      </w:pPr>
    </w:lvl>
  </w:abstractNum>
  <w:abstractNum w:abstractNumId="4">
    <w:nsid w:val="1C5D64B0"/>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5">
    <w:nsid w:val="26D15AF3"/>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6">
    <w:nsid w:val="369D61E3"/>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7">
    <w:nsid w:val="40595C44"/>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8">
    <w:nsid w:val="47426C0C"/>
    <w:multiLevelType w:val="hybridMultilevel"/>
    <w:tmpl w:val="8BDAA2C8"/>
    <w:lvl w:ilvl="0" w:tplc="0EDC5A76">
      <w:start w:val="1"/>
      <w:numFmt w:val="bullet"/>
      <w:lvlText w:val=""/>
      <w:lvlJc w:val="left"/>
      <w:pPr>
        <w:tabs>
          <w:tab w:val="num" w:pos="720"/>
        </w:tabs>
        <w:ind w:left="720" w:hanging="360"/>
      </w:pPr>
      <w:rPr>
        <w:rFonts w:ascii="Symbol" w:hAnsi="Symbol" w:hint="default"/>
      </w:rPr>
    </w:lvl>
    <w:lvl w:ilvl="1" w:tplc="44747964">
      <w:start w:val="1"/>
      <w:numFmt w:val="bullet"/>
      <w:lvlText w:val=""/>
      <w:lvlJc w:val="left"/>
      <w:pPr>
        <w:tabs>
          <w:tab w:val="num" w:pos="1440"/>
        </w:tabs>
        <w:ind w:left="1440" w:hanging="360"/>
      </w:pPr>
      <w:rPr>
        <w:rFonts w:ascii="Wingdings" w:hAnsi="Wingdings" w:hint="default"/>
      </w:rPr>
    </w:lvl>
    <w:lvl w:ilvl="2" w:tplc="8E1AFD92" w:tentative="1">
      <w:start w:val="1"/>
      <w:numFmt w:val="bullet"/>
      <w:lvlText w:val=""/>
      <w:lvlJc w:val="left"/>
      <w:pPr>
        <w:tabs>
          <w:tab w:val="num" w:pos="2160"/>
        </w:tabs>
        <w:ind w:left="2160" w:hanging="360"/>
      </w:pPr>
      <w:rPr>
        <w:rFonts w:ascii="Wingdings" w:hAnsi="Wingdings" w:hint="default"/>
      </w:rPr>
    </w:lvl>
    <w:lvl w:ilvl="3" w:tplc="862CC3FC" w:tentative="1">
      <w:start w:val="1"/>
      <w:numFmt w:val="bullet"/>
      <w:lvlText w:val=""/>
      <w:lvlJc w:val="left"/>
      <w:pPr>
        <w:tabs>
          <w:tab w:val="num" w:pos="2880"/>
        </w:tabs>
        <w:ind w:left="2880" w:hanging="360"/>
      </w:pPr>
      <w:rPr>
        <w:rFonts w:ascii="Wingdings" w:hAnsi="Wingdings" w:hint="default"/>
      </w:rPr>
    </w:lvl>
    <w:lvl w:ilvl="4" w:tplc="3F889042" w:tentative="1">
      <w:start w:val="1"/>
      <w:numFmt w:val="bullet"/>
      <w:lvlText w:val=""/>
      <w:lvlJc w:val="left"/>
      <w:pPr>
        <w:tabs>
          <w:tab w:val="num" w:pos="3600"/>
        </w:tabs>
        <w:ind w:left="3600" w:hanging="360"/>
      </w:pPr>
      <w:rPr>
        <w:rFonts w:ascii="Wingdings" w:hAnsi="Wingdings" w:hint="default"/>
      </w:rPr>
    </w:lvl>
    <w:lvl w:ilvl="5" w:tplc="C5E6BB6A" w:tentative="1">
      <w:start w:val="1"/>
      <w:numFmt w:val="bullet"/>
      <w:lvlText w:val=""/>
      <w:lvlJc w:val="left"/>
      <w:pPr>
        <w:tabs>
          <w:tab w:val="num" w:pos="4320"/>
        </w:tabs>
        <w:ind w:left="4320" w:hanging="360"/>
      </w:pPr>
      <w:rPr>
        <w:rFonts w:ascii="Wingdings" w:hAnsi="Wingdings" w:hint="default"/>
      </w:rPr>
    </w:lvl>
    <w:lvl w:ilvl="6" w:tplc="58CE291A" w:tentative="1">
      <w:start w:val="1"/>
      <w:numFmt w:val="bullet"/>
      <w:lvlText w:val=""/>
      <w:lvlJc w:val="left"/>
      <w:pPr>
        <w:tabs>
          <w:tab w:val="num" w:pos="5040"/>
        </w:tabs>
        <w:ind w:left="5040" w:hanging="360"/>
      </w:pPr>
      <w:rPr>
        <w:rFonts w:ascii="Wingdings" w:hAnsi="Wingdings" w:hint="default"/>
      </w:rPr>
    </w:lvl>
    <w:lvl w:ilvl="7" w:tplc="1A3E1E7C" w:tentative="1">
      <w:start w:val="1"/>
      <w:numFmt w:val="bullet"/>
      <w:lvlText w:val=""/>
      <w:lvlJc w:val="left"/>
      <w:pPr>
        <w:tabs>
          <w:tab w:val="num" w:pos="5760"/>
        </w:tabs>
        <w:ind w:left="5760" w:hanging="360"/>
      </w:pPr>
      <w:rPr>
        <w:rFonts w:ascii="Wingdings" w:hAnsi="Wingdings" w:hint="default"/>
      </w:rPr>
    </w:lvl>
    <w:lvl w:ilvl="8" w:tplc="C0B0A4B6" w:tentative="1">
      <w:start w:val="1"/>
      <w:numFmt w:val="bullet"/>
      <w:lvlText w:val=""/>
      <w:lvlJc w:val="left"/>
      <w:pPr>
        <w:tabs>
          <w:tab w:val="num" w:pos="6480"/>
        </w:tabs>
        <w:ind w:left="6480" w:hanging="360"/>
      </w:pPr>
      <w:rPr>
        <w:rFonts w:ascii="Wingdings" w:hAnsi="Wingdings" w:hint="default"/>
      </w:rPr>
    </w:lvl>
  </w:abstractNum>
  <w:abstractNum w:abstractNumId="9">
    <w:nsid w:val="57AC1E42"/>
    <w:multiLevelType w:val="hybridMultilevel"/>
    <w:tmpl w:val="8A4E517C"/>
    <w:lvl w:ilvl="0" w:tplc="7108D7F8">
      <w:start w:val="1"/>
      <w:numFmt w:val="decimal"/>
      <w:lvlText w:val="%1."/>
      <w:lvlJc w:val="left"/>
      <w:pPr>
        <w:tabs>
          <w:tab w:val="num" w:pos="720"/>
        </w:tabs>
        <w:ind w:left="720" w:hanging="360"/>
      </w:pPr>
    </w:lvl>
    <w:lvl w:ilvl="1" w:tplc="CCAEC714">
      <w:start w:val="1"/>
      <w:numFmt w:val="decimal"/>
      <w:lvlText w:val="%2."/>
      <w:lvlJc w:val="left"/>
      <w:pPr>
        <w:tabs>
          <w:tab w:val="num" w:pos="1440"/>
        </w:tabs>
        <w:ind w:left="1440" w:hanging="360"/>
      </w:p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0">
    <w:nsid w:val="5AF0632E"/>
    <w:multiLevelType w:val="hybridMultilevel"/>
    <w:tmpl w:val="497C97E4"/>
    <w:lvl w:ilvl="0" w:tplc="7108D7F8">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1">
    <w:nsid w:val="6EA33E29"/>
    <w:multiLevelType w:val="hybridMultilevel"/>
    <w:tmpl w:val="ECAADB8E"/>
    <w:lvl w:ilvl="0" w:tplc="7108D7F8">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2">
    <w:nsid w:val="77641317"/>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3">
    <w:nsid w:val="7B2B75AF"/>
    <w:multiLevelType w:val="hybridMultilevel"/>
    <w:tmpl w:val="39C6EF4A"/>
    <w:lvl w:ilvl="0" w:tplc="0409000B">
      <w:start w:val="1"/>
      <w:numFmt w:val="bullet"/>
      <w:lvlText w:val=""/>
      <w:lvlJc w:val="left"/>
      <w:pPr>
        <w:tabs>
          <w:tab w:val="num" w:pos="1368"/>
        </w:tabs>
        <w:ind w:left="1368" w:hanging="360"/>
      </w:pPr>
      <w:rPr>
        <w:rFonts w:ascii="Wingdings" w:hAnsi="Wingdings" w:hint="default"/>
      </w:rPr>
    </w:lvl>
    <w:lvl w:ilvl="1" w:tplc="0409000B">
      <w:start w:val="1"/>
      <w:numFmt w:val="bullet"/>
      <w:lvlText w:val=""/>
      <w:lvlJc w:val="left"/>
      <w:pPr>
        <w:tabs>
          <w:tab w:val="num" w:pos="2088"/>
        </w:tabs>
        <w:ind w:left="2088" w:hanging="360"/>
      </w:pPr>
      <w:rPr>
        <w:rFonts w:ascii="Wingdings" w:hAnsi="Wingdings" w:hint="default"/>
      </w:rPr>
    </w:lvl>
    <w:lvl w:ilvl="2" w:tplc="FF82AC58">
      <w:start w:val="900"/>
      <w:numFmt w:val="bullet"/>
      <w:lvlText w:val="–"/>
      <w:lvlJc w:val="left"/>
      <w:pPr>
        <w:tabs>
          <w:tab w:val="num" w:pos="2808"/>
        </w:tabs>
        <w:ind w:left="2808" w:hanging="360"/>
      </w:pPr>
      <w:rPr>
        <w:rFonts w:ascii="Arial Narrow" w:hAnsi="Arial Narrow" w:hint="default"/>
      </w:rPr>
    </w:lvl>
    <w:lvl w:ilvl="3" w:tplc="27E49D84" w:tentative="1">
      <w:start w:val="1"/>
      <w:numFmt w:val="decimal"/>
      <w:lvlText w:val="%4."/>
      <w:lvlJc w:val="left"/>
      <w:pPr>
        <w:tabs>
          <w:tab w:val="num" w:pos="3528"/>
        </w:tabs>
        <w:ind w:left="3528" w:hanging="360"/>
      </w:pPr>
    </w:lvl>
    <w:lvl w:ilvl="4" w:tplc="405EB14E" w:tentative="1">
      <w:start w:val="1"/>
      <w:numFmt w:val="decimal"/>
      <w:lvlText w:val="%5."/>
      <w:lvlJc w:val="left"/>
      <w:pPr>
        <w:tabs>
          <w:tab w:val="num" w:pos="4248"/>
        </w:tabs>
        <w:ind w:left="4248" w:hanging="360"/>
      </w:pPr>
    </w:lvl>
    <w:lvl w:ilvl="5" w:tplc="9D1E0802" w:tentative="1">
      <w:start w:val="1"/>
      <w:numFmt w:val="decimal"/>
      <w:lvlText w:val="%6."/>
      <w:lvlJc w:val="left"/>
      <w:pPr>
        <w:tabs>
          <w:tab w:val="num" w:pos="4968"/>
        </w:tabs>
        <w:ind w:left="4968" w:hanging="360"/>
      </w:pPr>
    </w:lvl>
    <w:lvl w:ilvl="6" w:tplc="9D682152" w:tentative="1">
      <w:start w:val="1"/>
      <w:numFmt w:val="decimal"/>
      <w:lvlText w:val="%7."/>
      <w:lvlJc w:val="left"/>
      <w:pPr>
        <w:tabs>
          <w:tab w:val="num" w:pos="5688"/>
        </w:tabs>
        <w:ind w:left="5688" w:hanging="360"/>
      </w:pPr>
    </w:lvl>
    <w:lvl w:ilvl="7" w:tplc="BA3AFD1A" w:tentative="1">
      <w:start w:val="1"/>
      <w:numFmt w:val="decimal"/>
      <w:lvlText w:val="%8."/>
      <w:lvlJc w:val="left"/>
      <w:pPr>
        <w:tabs>
          <w:tab w:val="num" w:pos="6408"/>
        </w:tabs>
        <w:ind w:left="6408" w:hanging="360"/>
      </w:pPr>
    </w:lvl>
    <w:lvl w:ilvl="8" w:tplc="7FBA9F00" w:tentative="1">
      <w:start w:val="1"/>
      <w:numFmt w:val="decimal"/>
      <w:lvlText w:val="%9."/>
      <w:lvlJc w:val="left"/>
      <w:pPr>
        <w:tabs>
          <w:tab w:val="num" w:pos="7128"/>
        </w:tabs>
        <w:ind w:left="7128" w:hanging="360"/>
      </w:pPr>
    </w:lvl>
  </w:abstractNum>
  <w:num w:numId="1">
    <w:abstractNumId w:val="9"/>
  </w:num>
  <w:num w:numId="2">
    <w:abstractNumId w:val="3"/>
  </w:num>
  <w:num w:numId="3">
    <w:abstractNumId w:val="10"/>
  </w:num>
  <w:num w:numId="4">
    <w:abstractNumId w:val="11"/>
  </w:num>
  <w:num w:numId="5">
    <w:abstractNumId w:val="13"/>
  </w:num>
  <w:num w:numId="6">
    <w:abstractNumId w:val="7"/>
  </w:num>
  <w:num w:numId="7">
    <w:abstractNumId w:val="0"/>
  </w:num>
  <w:num w:numId="8">
    <w:abstractNumId w:val="1"/>
  </w:num>
  <w:num w:numId="9">
    <w:abstractNumId w:val="4"/>
  </w:num>
  <w:num w:numId="10">
    <w:abstractNumId w:val="12"/>
  </w:num>
  <w:num w:numId="11">
    <w:abstractNumId w:val="6"/>
  </w:num>
  <w:num w:numId="12">
    <w:abstractNumId w:val="5"/>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39"/>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rsids>
    <w:rsidRoot w:val="001D7D24"/>
    <w:rsid w:val="000450F2"/>
    <w:rsid w:val="000716D4"/>
    <w:rsid w:val="00081E5D"/>
    <w:rsid w:val="0009290C"/>
    <w:rsid w:val="000946FB"/>
    <w:rsid w:val="000B74D5"/>
    <w:rsid w:val="001553F2"/>
    <w:rsid w:val="0015609B"/>
    <w:rsid w:val="00170EF1"/>
    <w:rsid w:val="001C357D"/>
    <w:rsid w:val="001D7D24"/>
    <w:rsid w:val="0020704E"/>
    <w:rsid w:val="00261568"/>
    <w:rsid w:val="0026542B"/>
    <w:rsid w:val="00266F40"/>
    <w:rsid w:val="002974C6"/>
    <w:rsid w:val="002E289C"/>
    <w:rsid w:val="003135C4"/>
    <w:rsid w:val="0034144A"/>
    <w:rsid w:val="00407B34"/>
    <w:rsid w:val="00421CFC"/>
    <w:rsid w:val="00437DD9"/>
    <w:rsid w:val="0047216A"/>
    <w:rsid w:val="00485157"/>
    <w:rsid w:val="00507364"/>
    <w:rsid w:val="005D6DA4"/>
    <w:rsid w:val="005F6781"/>
    <w:rsid w:val="0069021D"/>
    <w:rsid w:val="006970F2"/>
    <w:rsid w:val="006A77A3"/>
    <w:rsid w:val="006E171A"/>
    <w:rsid w:val="00713749"/>
    <w:rsid w:val="00782A35"/>
    <w:rsid w:val="00793CFB"/>
    <w:rsid w:val="007D0104"/>
    <w:rsid w:val="00833A76"/>
    <w:rsid w:val="00836229"/>
    <w:rsid w:val="008419C8"/>
    <w:rsid w:val="008560FF"/>
    <w:rsid w:val="00884C64"/>
    <w:rsid w:val="008C7660"/>
    <w:rsid w:val="008D4CAC"/>
    <w:rsid w:val="00914B22"/>
    <w:rsid w:val="0094192C"/>
    <w:rsid w:val="00983896"/>
    <w:rsid w:val="009D5A0B"/>
    <w:rsid w:val="009E2BEE"/>
    <w:rsid w:val="00A030F2"/>
    <w:rsid w:val="00A06EDA"/>
    <w:rsid w:val="00A176C4"/>
    <w:rsid w:val="00A95D53"/>
    <w:rsid w:val="00A97197"/>
    <w:rsid w:val="00B0553B"/>
    <w:rsid w:val="00B74983"/>
    <w:rsid w:val="00BB1C9C"/>
    <w:rsid w:val="00C24843"/>
    <w:rsid w:val="00CB5FF8"/>
    <w:rsid w:val="00D2756E"/>
    <w:rsid w:val="00D31A57"/>
    <w:rsid w:val="00D74230"/>
    <w:rsid w:val="00D77952"/>
    <w:rsid w:val="00DD3504"/>
    <w:rsid w:val="00E50C83"/>
    <w:rsid w:val="00E65692"/>
    <w:rsid w:val="00EB130C"/>
    <w:rsid w:val="00ED5E41"/>
    <w:rsid w:val="00F4109B"/>
    <w:rsid w:val="00FB0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09B"/>
    <w:rPr>
      <w:sz w:val="24"/>
      <w:szCs w:val="24"/>
    </w:rPr>
  </w:style>
  <w:style w:type="paragraph" w:styleId="Heading1">
    <w:name w:val="heading 1"/>
    <w:basedOn w:val="Normal"/>
    <w:next w:val="Normal"/>
    <w:link w:val="Heading1Char"/>
    <w:qFormat/>
    <w:rsid w:val="00266F40"/>
    <w:pPr>
      <w:keepNext/>
      <w:keepLines/>
      <w:spacing w:before="480" w:afterAutospacing="1"/>
      <w:ind w:left="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782A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82A3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7D24"/>
    <w:pPr>
      <w:tabs>
        <w:tab w:val="center" w:pos="4680"/>
        <w:tab w:val="right" w:pos="9360"/>
      </w:tabs>
    </w:pPr>
  </w:style>
  <w:style w:type="character" w:customStyle="1" w:styleId="HeaderChar">
    <w:name w:val="Header Char"/>
    <w:basedOn w:val="DefaultParagraphFont"/>
    <w:link w:val="Header"/>
    <w:rsid w:val="001D7D24"/>
    <w:rPr>
      <w:sz w:val="24"/>
      <w:szCs w:val="24"/>
    </w:rPr>
  </w:style>
  <w:style w:type="paragraph" w:styleId="Footer">
    <w:name w:val="footer"/>
    <w:basedOn w:val="Normal"/>
    <w:link w:val="FooterChar"/>
    <w:rsid w:val="001D7D24"/>
    <w:pPr>
      <w:tabs>
        <w:tab w:val="center" w:pos="4680"/>
        <w:tab w:val="right" w:pos="9360"/>
      </w:tabs>
    </w:pPr>
  </w:style>
  <w:style w:type="character" w:customStyle="1" w:styleId="FooterChar">
    <w:name w:val="Footer Char"/>
    <w:basedOn w:val="DefaultParagraphFont"/>
    <w:link w:val="Footer"/>
    <w:rsid w:val="001D7D24"/>
    <w:rPr>
      <w:sz w:val="24"/>
      <w:szCs w:val="24"/>
    </w:rPr>
  </w:style>
  <w:style w:type="paragraph" w:styleId="BalloonText">
    <w:name w:val="Balloon Text"/>
    <w:basedOn w:val="Normal"/>
    <w:link w:val="BalloonTextChar"/>
    <w:rsid w:val="001D7D24"/>
    <w:rPr>
      <w:rFonts w:ascii="Tahoma" w:hAnsi="Tahoma" w:cs="Tahoma"/>
      <w:sz w:val="16"/>
      <w:szCs w:val="16"/>
    </w:rPr>
  </w:style>
  <w:style w:type="character" w:customStyle="1" w:styleId="BalloonTextChar">
    <w:name w:val="Balloon Text Char"/>
    <w:basedOn w:val="DefaultParagraphFont"/>
    <w:link w:val="BalloonText"/>
    <w:rsid w:val="001D7D24"/>
    <w:rPr>
      <w:rFonts w:ascii="Tahoma" w:hAnsi="Tahoma" w:cs="Tahoma"/>
      <w:sz w:val="16"/>
      <w:szCs w:val="16"/>
    </w:rPr>
  </w:style>
  <w:style w:type="paragraph" w:styleId="ListParagraph">
    <w:name w:val="List Paragraph"/>
    <w:basedOn w:val="Normal"/>
    <w:uiPriority w:val="34"/>
    <w:qFormat/>
    <w:rsid w:val="00A176C4"/>
    <w:pPr>
      <w:contextualSpacing/>
    </w:pPr>
  </w:style>
  <w:style w:type="character" w:customStyle="1" w:styleId="Heading1Char">
    <w:name w:val="Heading 1 Char"/>
    <w:basedOn w:val="DefaultParagraphFont"/>
    <w:link w:val="Heading1"/>
    <w:rsid w:val="00266F40"/>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Normal"/>
    <w:rsid w:val="00266F40"/>
    <w:pPr>
      <w:spacing w:before="100" w:beforeAutospacing="1" w:after="100" w:afterAutospacing="1"/>
      <w:ind w:left="0"/>
    </w:pPr>
  </w:style>
  <w:style w:type="paragraph" w:customStyle="1" w:styleId="li">
    <w:name w:val="li"/>
    <w:basedOn w:val="Normal"/>
    <w:rsid w:val="00266F40"/>
    <w:pPr>
      <w:spacing w:before="100" w:beforeAutospacing="1" w:after="100" w:afterAutospacing="1"/>
      <w:ind w:left="0"/>
    </w:pPr>
  </w:style>
  <w:style w:type="character" w:styleId="Hyperlink">
    <w:name w:val="Hyperlink"/>
    <w:basedOn w:val="DefaultParagraphFont"/>
    <w:uiPriority w:val="99"/>
    <w:unhideWhenUsed/>
    <w:rsid w:val="00266F40"/>
    <w:rPr>
      <w:color w:val="0000FF"/>
      <w:u w:val="single"/>
    </w:rPr>
  </w:style>
  <w:style w:type="paragraph" w:customStyle="1" w:styleId="bodytext2">
    <w:name w:val="bodytext2"/>
    <w:basedOn w:val="Normal"/>
    <w:rsid w:val="00266F40"/>
    <w:pPr>
      <w:spacing w:before="100" w:beforeAutospacing="1" w:after="100" w:afterAutospacing="1"/>
      <w:ind w:left="0"/>
    </w:pPr>
  </w:style>
  <w:style w:type="character" w:customStyle="1" w:styleId="Heading4Char">
    <w:name w:val="Heading 4 Char"/>
    <w:basedOn w:val="DefaultParagraphFont"/>
    <w:link w:val="Heading4"/>
    <w:semiHidden/>
    <w:rsid w:val="00782A3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782A35"/>
    <w:rPr>
      <w:rFonts w:asciiTheme="majorHAnsi" w:eastAsiaTheme="majorEastAsia" w:hAnsiTheme="majorHAnsi" w:cstheme="majorBidi"/>
      <w:color w:val="243F60" w:themeColor="accent1" w:themeShade="7F"/>
      <w:sz w:val="24"/>
      <w:szCs w:val="24"/>
    </w:rPr>
  </w:style>
  <w:style w:type="character" w:customStyle="1" w:styleId="chlinum">
    <w:name w:val="chlinum"/>
    <w:basedOn w:val="DefaultParagraphFont"/>
    <w:rsid w:val="0009290C"/>
  </w:style>
  <w:style w:type="paragraph" w:styleId="NoSpacing">
    <w:name w:val="No Spacing"/>
    <w:uiPriority w:val="1"/>
    <w:qFormat/>
    <w:rsid w:val="0026542B"/>
    <w:pPr>
      <w:ind w:left="0"/>
    </w:pPr>
    <w:rPr>
      <w:sz w:val="24"/>
      <w:szCs w:val="24"/>
    </w:rPr>
  </w:style>
</w:styles>
</file>

<file path=word/webSettings.xml><?xml version="1.0" encoding="utf-8"?>
<w:webSettings xmlns:r="http://schemas.openxmlformats.org/officeDocument/2006/relationships" xmlns:w="http://schemas.openxmlformats.org/wordprocessingml/2006/main">
  <w:divs>
    <w:div w:id="1574271573">
      <w:bodyDiv w:val="1"/>
      <w:marLeft w:val="0"/>
      <w:marRight w:val="0"/>
      <w:marTop w:val="0"/>
      <w:marBottom w:val="0"/>
      <w:divBdr>
        <w:top w:val="none" w:sz="0" w:space="0" w:color="auto"/>
        <w:left w:val="none" w:sz="0" w:space="0" w:color="auto"/>
        <w:bottom w:val="none" w:sz="0" w:space="0" w:color="auto"/>
        <w:right w:val="none" w:sz="0" w:space="0" w:color="auto"/>
      </w:divBdr>
      <w:divsChild>
        <w:div w:id="2052725458">
          <w:marLeft w:val="1267"/>
          <w:marRight w:val="0"/>
          <w:marTop w:val="0"/>
          <w:marBottom w:val="0"/>
          <w:divBdr>
            <w:top w:val="none" w:sz="0" w:space="0" w:color="auto"/>
            <w:left w:val="none" w:sz="0" w:space="0" w:color="auto"/>
            <w:bottom w:val="none" w:sz="0" w:space="0" w:color="auto"/>
            <w:right w:val="none" w:sz="0" w:space="0" w:color="auto"/>
          </w:divBdr>
        </w:div>
        <w:div w:id="103775053">
          <w:marLeft w:val="1800"/>
          <w:marRight w:val="0"/>
          <w:marTop w:val="0"/>
          <w:marBottom w:val="0"/>
          <w:divBdr>
            <w:top w:val="none" w:sz="0" w:space="0" w:color="auto"/>
            <w:left w:val="none" w:sz="0" w:space="0" w:color="auto"/>
            <w:bottom w:val="none" w:sz="0" w:space="0" w:color="auto"/>
            <w:right w:val="none" w:sz="0" w:space="0" w:color="auto"/>
          </w:divBdr>
        </w:div>
        <w:div w:id="1432357839">
          <w:marLeft w:val="1800"/>
          <w:marRight w:val="0"/>
          <w:marTop w:val="0"/>
          <w:marBottom w:val="0"/>
          <w:divBdr>
            <w:top w:val="none" w:sz="0" w:space="0" w:color="auto"/>
            <w:left w:val="none" w:sz="0" w:space="0" w:color="auto"/>
            <w:bottom w:val="none" w:sz="0" w:space="0" w:color="auto"/>
            <w:right w:val="none" w:sz="0" w:space="0" w:color="auto"/>
          </w:divBdr>
        </w:div>
        <w:div w:id="2124379109">
          <w:marLeft w:val="1267"/>
          <w:marRight w:val="0"/>
          <w:marTop w:val="0"/>
          <w:marBottom w:val="0"/>
          <w:divBdr>
            <w:top w:val="none" w:sz="0" w:space="0" w:color="auto"/>
            <w:left w:val="none" w:sz="0" w:space="0" w:color="auto"/>
            <w:bottom w:val="none" w:sz="0" w:space="0" w:color="auto"/>
            <w:right w:val="none" w:sz="0" w:space="0" w:color="auto"/>
          </w:divBdr>
        </w:div>
        <w:div w:id="1431507417">
          <w:marLeft w:val="1800"/>
          <w:marRight w:val="0"/>
          <w:marTop w:val="0"/>
          <w:marBottom w:val="0"/>
          <w:divBdr>
            <w:top w:val="none" w:sz="0" w:space="0" w:color="auto"/>
            <w:left w:val="none" w:sz="0" w:space="0" w:color="auto"/>
            <w:bottom w:val="none" w:sz="0" w:space="0" w:color="auto"/>
            <w:right w:val="none" w:sz="0" w:space="0" w:color="auto"/>
          </w:divBdr>
        </w:div>
        <w:div w:id="1360856874">
          <w:marLeft w:val="1267"/>
          <w:marRight w:val="0"/>
          <w:marTop w:val="0"/>
          <w:marBottom w:val="0"/>
          <w:divBdr>
            <w:top w:val="none" w:sz="0" w:space="0" w:color="auto"/>
            <w:left w:val="none" w:sz="0" w:space="0" w:color="auto"/>
            <w:bottom w:val="none" w:sz="0" w:space="0" w:color="auto"/>
            <w:right w:val="none" w:sz="0" w:space="0" w:color="auto"/>
          </w:divBdr>
        </w:div>
        <w:div w:id="1417895064">
          <w:marLeft w:val="1800"/>
          <w:marRight w:val="0"/>
          <w:marTop w:val="0"/>
          <w:marBottom w:val="0"/>
          <w:divBdr>
            <w:top w:val="none" w:sz="0" w:space="0" w:color="auto"/>
            <w:left w:val="none" w:sz="0" w:space="0" w:color="auto"/>
            <w:bottom w:val="none" w:sz="0" w:space="0" w:color="auto"/>
            <w:right w:val="none" w:sz="0" w:space="0" w:color="auto"/>
          </w:divBdr>
        </w:div>
        <w:div w:id="1163591846">
          <w:marLeft w:val="1267"/>
          <w:marRight w:val="0"/>
          <w:marTop w:val="0"/>
          <w:marBottom w:val="0"/>
          <w:divBdr>
            <w:top w:val="none" w:sz="0" w:space="0" w:color="auto"/>
            <w:left w:val="none" w:sz="0" w:space="0" w:color="auto"/>
            <w:bottom w:val="none" w:sz="0" w:space="0" w:color="auto"/>
            <w:right w:val="none" w:sz="0" w:space="0" w:color="auto"/>
          </w:divBdr>
        </w:div>
      </w:divsChild>
    </w:div>
    <w:div w:id="1767270655">
      <w:bodyDiv w:val="1"/>
      <w:marLeft w:val="0"/>
      <w:marRight w:val="0"/>
      <w:marTop w:val="0"/>
      <w:marBottom w:val="0"/>
      <w:divBdr>
        <w:top w:val="none" w:sz="0" w:space="0" w:color="auto"/>
        <w:left w:val="none" w:sz="0" w:space="0" w:color="auto"/>
        <w:bottom w:val="none" w:sz="0" w:space="0" w:color="auto"/>
        <w:right w:val="none" w:sz="0" w:space="0" w:color="auto"/>
      </w:divBdr>
      <w:divsChild>
        <w:div w:id="613365979">
          <w:marLeft w:val="1267"/>
          <w:marRight w:val="0"/>
          <w:marTop w:val="0"/>
          <w:marBottom w:val="0"/>
          <w:divBdr>
            <w:top w:val="none" w:sz="0" w:space="0" w:color="auto"/>
            <w:left w:val="none" w:sz="0" w:space="0" w:color="auto"/>
            <w:bottom w:val="none" w:sz="0" w:space="0" w:color="auto"/>
            <w:right w:val="none" w:sz="0" w:space="0" w:color="auto"/>
          </w:divBdr>
        </w:div>
        <w:div w:id="1370253692">
          <w:marLeft w:val="1800"/>
          <w:marRight w:val="0"/>
          <w:marTop w:val="0"/>
          <w:marBottom w:val="0"/>
          <w:divBdr>
            <w:top w:val="none" w:sz="0" w:space="0" w:color="auto"/>
            <w:left w:val="none" w:sz="0" w:space="0" w:color="auto"/>
            <w:bottom w:val="none" w:sz="0" w:space="0" w:color="auto"/>
            <w:right w:val="none" w:sz="0" w:space="0" w:color="auto"/>
          </w:divBdr>
        </w:div>
        <w:div w:id="1457915374">
          <w:marLeft w:val="1800"/>
          <w:marRight w:val="0"/>
          <w:marTop w:val="0"/>
          <w:marBottom w:val="0"/>
          <w:divBdr>
            <w:top w:val="none" w:sz="0" w:space="0" w:color="auto"/>
            <w:left w:val="none" w:sz="0" w:space="0" w:color="auto"/>
            <w:bottom w:val="none" w:sz="0" w:space="0" w:color="auto"/>
            <w:right w:val="none" w:sz="0" w:space="0" w:color="auto"/>
          </w:divBdr>
        </w:div>
        <w:div w:id="155615197">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eci.org/ftguide/"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9C7A-903F-4F1A-9AA2-062385C1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jdean</dc:creator>
  <cp:keywords/>
  <dc:description/>
  <cp:lastModifiedBy>Gabe Boeckman</cp:lastModifiedBy>
  <cp:revision>6</cp:revision>
  <dcterms:created xsi:type="dcterms:W3CDTF">2010-02-14T04:25:00Z</dcterms:created>
  <dcterms:modified xsi:type="dcterms:W3CDTF">2010-07-23T00:03:00Z</dcterms:modified>
</cp:coreProperties>
</file>